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会计学专业人才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bookmarkStart w:id="1" w:name="_Toc67644309"/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专业名称：会计学，专业类别：工商管理类，专业代码：</w:t>
      </w:r>
      <w:r>
        <w:rPr>
          <w:rFonts w:hint="eastAsia" w:ascii="Times New Roman" w:hAnsi="Times New Roman"/>
        </w:rPr>
        <w:t>120203K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层次：</w:t>
      </w:r>
      <w:r>
        <w:rPr>
          <w:rFonts w:hint="eastAsia" w:ascii="Times New Roman" w:hAnsi="Times New Roman"/>
          <w:sz w:val="24"/>
          <w:szCs w:val="24"/>
        </w:rPr>
        <w:t>高起本。</w:t>
      </w:r>
    </w:p>
    <w:bookmarkEnd w:id="1"/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二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、培养目标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本专业以立德树人为根本</w:t>
      </w:r>
      <w:r>
        <w:rPr>
          <w:rFonts w:hint="eastAsia" w:ascii="Times New Roman" w:hAnsi="Times New Roman"/>
          <w:sz w:val="24"/>
          <w:shd w:val="clear" w:color="auto" w:fill="FFFFFF"/>
        </w:rPr>
        <w:t>，以强农兴农为己任，践行社会主义核心价值观，</w:t>
      </w:r>
      <w:r>
        <w:rPr>
          <w:rFonts w:ascii="Times New Roman" w:hAnsi="Times New Roman"/>
          <w:sz w:val="24"/>
          <w:shd w:val="clear" w:color="auto" w:fill="FFFFFF"/>
        </w:rPr>
        <w:t>按照“加强基础、拓宽口径、注重素质、提高能力”要求</w:t>
      </w:r>
      <w:r>
        <w:rPr>
          <w:rFonts w:hint="eastAsia" w:ascii="Times New Roman" w:hAnsi="Times New Roman"/>
          <w:sz w:val="24"/>
          <w:shd w:val="clear" w:color="auto" w:fill="FFFFFF"/>
          <w:lang w:eastAsia="zh-CN"/>
        </w:rPr>
        <w:t>，</w:t>
      </w:r>
      <w:r>
        <w:rPr>
          <w:rFonts w:ascii="Times New Roman" w:hAnsi="Times New Roman"/>
          <w:sz w:val="24"/>
          <w:shd w:val="clear" w:color="auto" w:fill="FFFFFF"/>
        </w:rPr>
        <w:t>培养德、智、体、美全面发展，满足社会主义现代化建设需要，具备管理学与经济学理论基础，掌握会计基本理论与实务操作技能，熟知现行会计法规与准则，具有一定外语水平和计算机应用能力，具有信息化时代特征和创新发展思维，能在社会各行各业从事会计相关专业工作，或向</w:t>
      </w:r>
      <w:r>
        <w:rPr>
          <w:rFonts w:hint="eastAsia" w:ascii="Times New Roman" w:hAnsi="Times New Roman"/>
          <w:sz w:val="24"/>
          <w:shd w:val="clear" w:color="auto" w:fill="FFFFFF"/>
          <w:lang w:eastAsia="zh-CN"/>
        </w:rPr>
        <w:t>更高层次</w:t>
      </w:r>
      <w:r>
        <w:rPr>
          <w:rFonts w:ascii="Times New Roman" w:hAnsi="Times New Roman"/>
          <w:sz w:val="24"/>
          <w:shd w:val="clear" w:color="auto" w:fill="FFFFFF"/>
        </w:rPr>
        <w:t>人才目标继续学习深造，胸怀“厚德博学、经世济民”志向的会计管理与应用型专门人才。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bookmarkStart w:id="2" w:name="_Toc67644310"/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三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、培养要求</w:t>
      </w:r>
      <w:bookmarkEnd w:id="2"/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1、基本素质方面：热爱祖国，拥护中国共产党领导，认真学习并基本掌握马列主义、毛泽东思想、邓小平理论、“三个代表”重要思想、科学发展观和新时代中国特色社会主义思想的基本原理；树立科学的世界观、人生观，愿为社会主义现代化建设服务、为人民服务；具有刻苦学习、实事求是、抱朴守真的科学精神；具有良好的思想品德、社会公德和职业道德，不做假账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、基本知识方面：具有一定的人文社会科学和自然科学基本理论知识，掌握会计学的基本理论、基本技能及基本方法，具有提出问题、分析问题和解决问题的基本能力，具备利用所学知识独立进行创新创业的精神，具备从事会计、审计、统计、财务管理、信贷分析、投资评估、税务管理等岗位工作的能力和开展本专业领域科学研究的初步能力，能熟练使用计算机进行财务数据处理，掌握一门外语进行商务沟通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3、基本技能方面：通过课内开设的各种实验课程，能基本掌握填制凭证、登记账簿、编制报表等账务处理流程及会计信息化处理的各项核算工作，结合课外的相关文化活动、科研训练、学科竞赛、会计技能竞赛、假期社会实践等活动，进一步掌握会计手工核算和信息化环境下的基本会计核算技能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4、基本能力方面：熟练掌握会计的基本方法和技能的基础上，掌握一门外语，达到基本的听、说读、写的能力；具有较强的语言与文字表达、人际沟通、信息获取能力；具有一定的计算机应用能力，掌握文献检索、资料查询的基本方法；了解本学科的理论前沿和发展动态；具有一定的体育和军事基本知识；掌握科学锻炼身体的基本方法和技能；具有较强的创新意识、科研创新能力以及实践活动能力。</w:t>
      </w:r>
    </w:p>
    <w:p>
      <w:pPr>
        <w:spacing w:line="460" w:lineRule="exact"/>
        <w:ind w:firstLine="482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shd w:val="clear" w:color="auto" w:fill="FFFFFF"/>
        </w:rPr>
        <w:t>毕业生应具备以下几方面的知识、能力和素质：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1、初步具备管理学及经济学的基本思想及思维模式；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2、获得手工记账及会计软件操作、财务分析、审计、财务管理、投资评估、成本管理、税务管理 等实务工作相关知识与技能；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3、具有较强的语言表达、文字组织、数据统计与专业分析能力；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4、熟悉我国现行的会计准则及其应用指南，了解国内外会计准则制定的动态及理论前沿；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5、掌握文献检索、数据资料查询的基本方法，具有一定的科学研究和实际工作能力。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bookmarkStart w:id="3" w:name="_Toc67644312"/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五、核心课程</w:t>
      </w:r>
      <w:bookmarkEnd w:id="3"/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/>
          <w:kern w:val="0"/>
          <w:sz w:val="24"/>
          <w:shd w:val="clear" w:color="auto" w:fill="FFFFFF"/>
        </w:rPr>
        <w:t>大学英语、马克思主义基本原理、管理学、微观经济学、宏观经济学、中级财务会计、财务管理、审计等</w:t>
      </w:r>
      <w:r>
        <w:rPr>
          <w:rFonts w:hint="eastAsia" w:ascii="Times New Roman" w:hAnsi="Times New Roman"/>
          <w:kern w:val="0"/>
          <w:sz w:val="24"/>
          <w:shd w:val="clear" w:color="auto" w:fill="FFFFFF"/>
          <w:lang w:val="en-US" w:eastAsia="zh-CN"/>
        </w:rPr>
        <w:t>课程</w:t>
      </w:r>
      <w:r>
        <w:rPr>
          <w:rFonts w:hint="eastAsia" w:ascii="Times New Roman" w:hAnsi="Times New Roman"/>
          <w:kern w:val="0"/>
          <w:sz w:val="24"/>
          <w:shd w:val="clear" w:color="auto" w:fill="FFFFFF"/>
        </w:rPr>
        <w:t>。学位课程</w:t>
      </w:r>
      <w:r>
        <w:rPr>
          <w:rFonts w:hint="eastAsia" w:ascii="Times New Roman" w:hAnsi="Times New Roman"/>
          <w:kern w:val="0"/>
          <w:sz w:val="24"/>
          <w:shd w:val="clear" w:color="auto" w:fill="FFFFFF"/>
          <w:lang w:val="en-US" w:eastAsia="zh-CN"/>
        </w:rPr>
        <w:t>是</w:t>
      </w:r>
      <w:r>
        <w:rPr>
          <w:rFonts w:hint="eastAsia" w:ascii="Times New Roman" w:hAnsi="Times New Roman"/>
          <w:kern w:val="0"/>
          <w:sz w:val="24"/>
          <w:shd w:val="clear" w:color="auto" w:fill="FFFFFF"/>
        </w:rPr>
        <w:t>微观经济学</w:t>
      </w:r>
      <w:r>
        <w:rPr>
          <w:rFonts w:hint="eastAsia" w:ascii="Times New Roman" w:hAnsi="Times New Roman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kern w:val="0"/>
          <w:sz w:val="24"/>
          <w:shd w:val="clear" w:color="auto" w:fill="FFFFFF"/>
        </w:rPr>
        <w:t>财务管理、中级财务会计。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</w:t>
      </w:r>
      <w:r>
        <w:rPr>
          <w:rFonts w:ascii="Times New Roman" w:hAnsi="Times New Roman" w:eastAsia="黑体"/>
          <w:sz w:val="28"/>
          <w:szCs w:val="24"/>
        </w:rPr>
        <w:t>、毕业及学位授予要求</w:t>
      </w:r>
      <w:bookmarkStart w:id="4" w:name="_GoBack"/>
      <w:bookmarkEnd w:id="4"/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在规定的学习年限内完成本专业人才培养方案规定的全部课程，经考核成绩合格并获得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100</w:t>
      </w:r>
      <w:r>
        <w:rPr>
          <w:rFonts w:hint="eastAsia"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pacing w:val="-4"/>
          <w:kern w:val="0"/>
          <w:sz w:val="24"/>
          <w:shd w:val="clear" w:color="auto" w:fill="FFFFFF"/>
        </w:rPr>
        <w:t>颁发</w:t>
      </w:r>
      <w:r>
        <w:rPr>
          <w:rFonts w:hint="eastAsia" w:ascii="Times New Roman" w:hAnsi="Times New Roman"/>
          <w:sz w:val="24"/>
          <w:szCs w:val="24"/>
        </w:rPr>
        <w:t>江西农业大学成人高等教育毕业证书。符合江西农业大学高等学历继续教育本科毕业生学士学位授予条件，经本人申请可授予管理学学士学位。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spacing w:line="360" w:lineRule="auto"/>
        <w:rPr>
          <w:rFonts w:ascii="Times New Roman" w:hAnsi="Times New Roman"/>
          <w:kern w:val="0"/>
        </w:rPr>
      </w:pPr>
    </w:p>
    <w:p>
      <w:pPr>
        <w:spacing w:line="360" w:lineRule="auto"/>
        <w:rPr>
          <w:rFonts w:ascii="Times New Roman" w:hAnsi="Times New Roman"/>
          <w:kern w:val="0"/>
        </w:rPr>
      </w:pPr>
    </w:p>
    <w:tbl>
      <w:tblPr>
        <w:tblW w:w="11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28"/>
        <w:gridCol w:w="846"/>
        <w:gridCol w:w="2166"/>
        <w:gridCol w:w="648"/>
        <w:gridCol w:w="664"/>
        <w:gridCol w:w="716"/>
        <w:gridCol w:w="716"/>
        <w:gridCol w:w="616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会计学专业（专升本）培养方案教学进程表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政治经济学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基础会计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宏观经济学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会计信息系统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微观经济学*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管理会计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数据库技术基础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管理统计与 SPSS 应用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财务报表分析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投资项目评估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EXCEL财务应用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1、过程性考核成绩占总成绩比例50%；2、标*为学位课程。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会计学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49"/>
        <w:gridCol w:w="820"/>
        <w:gridCol w:w="1161"/>
        <w:gridCol w:w="1520"/>
        <w:gridCol w:w="133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职称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/技能等级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张征华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1976.12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税法、农民专业合作社财务核算与管理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林斌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1971.11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张春美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1969.04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农村财务管理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张小有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1970.08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会计信息系统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李霞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1970.12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基础会计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吴丽萍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1984.09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金晶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1982.04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财务管理、农业企业经营管理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肖小玮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1978.11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证券投资学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胡文捷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1983.03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村集体经济组织会计核算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万梦书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1988.05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ERP业财一体化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邓平华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1978.09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冯倩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1987.05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财务报表分析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熊翅新</w:t>
            </w: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1979.03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EXCEL财务应用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Lines="50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备注：校外兼职教师可以是与专业密切相关的企业行业技能工匠、技能大师等。</w:t>
      </w:r>
    </w:p>
    <w:p>
      <w:pPr>
        <w:spacing w:line="360" w:lineRule="auto"/>
        <w:rPr>
          <w:rFonts w:ascii="Times New Roman" w:hAnsi="Times New Roman" w:eastAsia="黑体" w:cs="Arial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会计学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6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69"/>
        <w:gridCol w:w="1175"/>
        <w:gridCol w:w="2883"/>
        <w:gridCol w:w="5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638" w:type="dxa"/>
            <w:noWrap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236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高等教育出版社，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9787040494792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基础会计学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李霞、喻均林、彭琛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江西高校出版社，2021年版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ascii="Times New Roman" w:hAnsi="Times New Roman" w:cs="宋体"/>
                <w:sz w:val="18"/>
                <w:szCs w:val="18"/>
              </w:rPr>
              <w:t>9787576216301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中级财务会计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中级财务会计学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吴丽萍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北京出版社，2019年版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978720012352-4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财务管理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财务管理学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王化成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9787300293912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税法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税法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王红云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中国人民大学出版社，2019年版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ISBN：9787300270906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审计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审计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陈汉文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9787300283876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会计信息系统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会计信息系统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许泽想、杨林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吉林大学出版社，2021年版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9787567787285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ERP业财一体化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ERP财务业务一体化应用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魏世和，陈祥禧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南京大学出版社，2019年版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9787305137525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农村财务管理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农村财务管理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赵晓洁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中国农业科学技术出版社，2020年版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9787511650399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EXCEL财务应用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EXCEL在财务中的应用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张高胜、杨婷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吉林大学出版社，2021年版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9787567797307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成本会计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成本会计学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张敏、黎来芳、于富生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9787300292007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管理会计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孙茂竹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中国人民大学出版社，2020年版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9787300287386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农村金融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农村金融学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董晓林，张龙耀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9787030528858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财务报表分析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财务报表分析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张新民，钱爱民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中国人民大学出版社，2019年版</w:t>
            </w: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9787300271620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农业企业经营管理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农业企业经营管理学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蔡根女 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高等教育出版社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9787040413427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证券投资</w:t>
            </w:r>
            <w:r>
              <w:rPr>
                <w:rFonts w:hint="eastAsia" w:ascii="Times New Roman" w:hAnsi="Times New Roman"/>
                <w:sz w:val="18"/>
                <w:szCs w:val="18"/>
              </w:rPr>
              <w:t>分析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证券投资学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吴晓求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9787300284965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政府与非盈利组织会计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政府与非盈利组织会计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张曾莲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机械工业出版社，2021年版I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9787111687122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农民专业合作社财务核算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农民专业合作社财务核算与管理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吴玉平，唐俊杰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中国农业科学技术出版社，2021年版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9787511653673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村集体经济组织会计核算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村集体经济组织会计实务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于善雨，滕敬平，李连群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中国农业科学技术出版社，2018年版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9787511636706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起草执笔人：</w:t>
      </w:r>
      <w:r>
        <w:rPr>
          <w:rFonts w:hint="eastAsia" w:ascii="Times New Roman" w:hAnsi="Times New Roman"/>
        </w:rPr>
        <w:t xml:space="preserve">继续教育学院   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吴丽萍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CE45D1"/>
    <w:rsid w:val="000C73C5"/>
    <w:rsid w:val="000E2062"/>
    <w:rsid w:val="0017554F"/>
    <w:rsid w:val="002D6B00"/>
    <w:rsid w:val="003B2246"/>
    <w:rsid w:val="004D080F"/>
    <w:rsid w:val="004E60FB"/>
    <w:rsid w:val="005D0F0E"/>
    <w:rsid w:val="006779DA"/>
    <w:rsid w:val="006E51E7"/>
    <w:rsid w:val="007737FE"/>
    <w:rsid w:val="007A2C42"/>
    <w:rsid w:val="007C289E"/>
    <w:rsid w:val="007E7847"/>
    <w:rsid w:val="00916175"/>
    <w:rsid w:val="00921BBC"/>
    <w:rsid w:val="00980BE0"/>
    <w:rsid w:val="009B5A6D"/>
    <w:rsid w:val="009E6C59"/>
    <w:rsid w:val="00BC3E4A"/>
    <w:rsid w:val="00CE45D1"/>
    <w:rsid w:val="00F33963"/>
    <w:rsid w:val="06815787"/>
    <w:rsid w:val="0903416A"/>
    <w:rsid w:val="0E1B410D"/>
    <w:rsid w:val="0F993C6C"/>
    <w:rsid w:val="21D61801"/>
    <w:rsid w:val="27E57A8A"/>
    <w:rsid w:val="2B10227B"/>
    <w:rsid w:val="2D8146AC"/>
    <w:rsid w:val="339F4140"/>
    <w:rsid w:val="33F64FAF"/>
    <w:rsid w:val="36AF1471"/>
    <w:rsid w:val="386255A5"/>
    <w:rsid w:val="3A8D375B"/>
    <w:rsid w:val="3F1C6E5B"/>
    <w:rsid w:val="4453546C"/>
    <w:rsid w:val="48F63D37"/>
    <w:rsid w:val="4DCF7EBB"/>
    <w:rsid w:val="4E370ABE"/>
    <w:rsid w:val="5CC03F0E"/>
    <w:rsid w:val="62FA723F"/>
    <w:rsid w:val="640E754E"/>
    <w:rsid w:val="695B28C2"/>
    <w:rsid w:val="6DB622AE"/>
    <w:rsid w:val="6E4A46B3"/>
    <w:rsid w:val="6F4F0872"/>
    <w:rsid w:val="70546C93"/>
    <w:rsid w:val="71226FC6"/>
    <w:rsid w:val="75C45E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21"/>
    <w:basedOn w:val="7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3">
    <w:name w:val="font7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7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706</Words>
  <Characters>4026</Characters>
  <Lines>33</Lines>
  <Paragraphs>9</Paragraphs>
  <TotalTime>1</TotalTime>
  <ScaleCrop>false</ScaleCrop>
  <LinksUpToDate>false</LinksUpToDate>
  <CharactersWithSpaces>4723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2022-01-02T02:58:00Z</dcterms:created>
  <dc:creator>ggq77</dc:creator>
  <cp:lastModifiedBy>江西农大王新龙</cp:lastModifiedBy>
  <dcterms:modified xsi:type="dcterms:W3CDTF">2023-02-08T08:08:24Z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C170E9E641FB4EF19C06928926312749</vt:lpwstr>
  </property>
</Properties>
</file>